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Ödünç Eşya Konuşmaları</w:t>
      </w:r>
    </w:p>
    <w:p>
      <w:pPr>
        <w:spacing w:after="200"/>
      </w:pPr>
      <w:r>
        <w:rPr>
          <w:color w:val="526365"/>
          <w:sz w:val="20"/>
        </w:rPr>
        <w:t>Öğretmen yönergesi  •  5–8. sınıf  •  Yaklaşık 30 dakika</w:t>
      </w:r>
    </w:p>
    <w:p>
      <w:r>
        <w:t>Öğrenciler kişisel bir eşya için izin istemeyi, ret yanıtına saygı göstermeyi ve kararlaştırılan zamanda iade etmeyi dener. İzin sormak, izin verildiği anlamına gelmez. Konuşmada karşı tarafın yanıtı ve seçme hakkı korunur.</w:t>
      </w:r>
    </w:p>
    <w:p>
      <w:pPr>
        <w:pStyle w:val="Heading1"/>
      </w:pPr>
      <w:r>
        <w:t>Ön hazırlık</w:t>
      </w:r>
    </w:p>
    <w:p>
      <w:r>
        <w:t>Okulun ortak malzemesiyle öğrencinin kişisel eşyasını ayırın. Ortak araç eksikliğinin çözümünü çocukların birbirine eşya vermesine bırakmayın. Gerçek eşyaların el değiştirmesi gerekmez; yakın zamanda yaşanan bir anlaşmazlığı sınıf önüne taşımayın.</w:t>
      </w:r>
    </w:p>
    <w:p>
      <w:pPr>
        <w:spacing w:before="100"/>
      </w:pPr>
      <w:r>
        <w:rPr>
          <w:b/>
        </w:rPr>
        <w:t>Okulda ortak malzeme için yardım istenecek kişi ve yol</w:t>
      </w:r>
    </w:p>
    <w:p>
      <w:pPr>
        <w:spacing w:after="20" w:line="300" w:lineRule="auto"/>
      </w:pPr>
      <w:r>
        <w:rPr>
          <w:color w:val="B2BBBD"/>
          <w:sz w:val="20"/>
        </w:rPr>
        <w:t>_________________________________________________________________________</w:t>
      </w:r>
    </w:p>
    <w:p>
      <w:pPr>
        <w:pStyle w:val="Heading1"/>
      </w:pPr>
      <w:r>
        <w:t>Açık bir isteği karşılaştırma  5 dakika</w:t>
      </w:r>
    </w:p>
    <w:p>
      <w:r>
        <w:t>“Şunu versene” ve “Cetvelini bu şekli çizerken kullanabilir miyim? Ders bitmeden masanda sana geri vereceğim” cümlelerini karşılaştırın. Eşya, kullanım ve iade zamanı anlaşılır olsun. Yanıt gelmeden eşya alınmaz.</w:t>
      </w:r>
    </w:p>
    <w:p>
      <w:pPr>
        <w:pStyle w:val="Heading1"/>
      </w:pPr>
      <w:r>
        <w:t>Kartları hazırlama  8 dakika</w:t>
      </w:r>
    </w:p>
    <w:p>
      <w:r>
        <w:t>İkililer üçüncü sayfadaki bir durumu seçsin. İlk üç dakikada iki kişinin cümlelerini hazırlasınlar. Kalan beş dakikada her durumdan bir örnek dinleyin. Yalnız isteyenin cümlesini değil, eşya sahibinin yanıtını da alın.</w:t>
      </w:r>
    </w:p>
    <w:p>
      <w:pPr>
        <w:pStyle w:val="Heading1"/>
      </w:pPr>
      <w:r>
        <w:t>Karşılıklı prova  7 dakika</w:t>
      </w:r>
    </w:p>
    <w:p>
      <w:r>
        <w:t>İkinci sayfadaki diyaloglardan yararlanın. Rolleri değiştirin. Dinleyen kişi “Neye izin verildi, ne zaman iade edilecek?” sorularını yanıtlasın. “Sonra veririm” gibi belirsiz ifadeyi birlikte açıklığa kavuşturun.</w:t>
      </w:r>
    </w:p>
    <w:p>
      <w:pPr>
        <w:pStyle w:val="Heading1"/>
      </w:pPr>
      <w:r>
        <w:t>Yeni durum ve kapanış  10 dakika</w:t>
      </w:r>
    </w:p>
    <w:p>
      <w:r>
        <w:t>Altı dakika dördüncü sayfadaki yeni duruma, dört dakika gönüllü yanıtları konuşmaya ayırın. Kim daha nazik diye sıralamayın. İstek açık mı, yanıt bekleniyor mu, ret sonrası baskı duruyor mu ve iade anlaşılır mı diye bakın.</w:t>
      </w:r>
    </w:p>
    <w:p>
      <w:r>
        <w:br w:type="page"/>
      </w:r>
    </w:p>
    <w:p>
      <w:pPr>
        <w:pStyle w:val="Title"/>
      </w:pPr>
      <w:r>
        <w:t>İzin Ret ve İade</w:t>
      </w:r>
    </w:p>
    <w:p>
      <w:pPr>
        <w:spacing w:after="200"/>
      </w:pPr>
      <w:r>
        <w:rPr>
          <w:color w:val="526365"/>
          <w:sz w:val="20"/>
        </w:rPr>
        <w:t>Öğretmen için gerekçeli konuşma örnekleri</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Cetvel şu anda kullanılıyor</w:t>
            </w:r>
          </w:p>
          <w:p>
            <w:pPr>
              <w:spacing w:after="60"/>
            </w:pPr>
            <w:r>
              <w:t>Mert: “Cetvelini bu şekli çizerken kullanabilir miyim? Ders bitmeden geri vereceğim.” Ada: “Şimdi ben kullanıyorum, veremem.” Mert: “Tamam. Ortak cetvel için öğretmenime soracağım.” Ada gerekçe sunmak zorunda değildir; Mert başka yol arar.</w:t>
            </w:r>
          </w:p>
        </w:tc>
      </w:tr>
    </w:tbl>
    <w:p>
      <w:pPr>
        <w:spacing w:after="0" w:before="0" w:line="48" w:lineRule="auto"/>
      </w:pPr>
      <w:r>
        <w:rPr>
          <w:sz w:val="4"/>
        </w:rPr>
        <w:t xml:space="preserve"> </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İade zamanı açıklanıyor</w:t>
            </w:r>
          </w:p>
          <w:p>
            <w:pPr>
              <w:spacing w:after="60"/>
            </w:pPr>
            <w:r>
              <w:t>Ada: “Renkli kalemimi bu dersin sonuna kadar verebilirim.” Mert: “Ders bitmeden masanda sana geri vereceğim.” Öğretmen: “Sonra derken hangi zaman?” sorusuyla belirsiz anlaşmayı somutlaştırabilir. İki kişi aynı zamanı anlasın.</w:t>
            </w:r>
          </w:p>
        </w:tc>
      </w:tr>
    </w:tbl>
    <w:p>
      <w:pPr>
        <w:spacing w:after="0" w:before="0" w:line="48" w:lineRule="auto"/>
      </w:pPr>
      <w:r>
        <w:rPr>
          <w:sz w:val="4"/>
        </w:rPr>
        <w:t xml:space="preserve"> </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İş uzadığında</w:t>
            </w:r>
          </w:p>
          <w:p>
            <w:pPr>
              <w:spacing w:after="60"/>
            </w:pPr>
            <w:r>
              <w:t>Mert: “Söz verdiğim saat geldi, kalemini geri getiriyorum. Bir sonraki derste yeniden kullanabilir miyim?” Ada: “Sonraki derste bana gerekiyor.” Mert: “Anladım, başka bir kalem bulacağım.” Kullanım süresi tek taraflı uzatılmaz.</w:t>
            </w:r>
          </w:p>
        </w:tc>
      </w:tr>
    </w:tbl>
    <w:p>
      <w:pPr>
        <w:spacing w:after="0" w:before="0" w:line="48" w:lineRule="auto"/>
      </w:pPr>
      <w:r>
        <w:rPr>
          <w:sz w:val="4"/>
        </w:rPr>
        <w:t xml:space="preserve"> </w:t>
      </w:r>
    </w:p>
    <w:p>
      <w:pPr>
        <w:pStyle w:val="Heading1"/>
      </w:pPr>
      <w:r>
        <w:t>Öğretmenin tamamlayacağı noktalar</w:t>
      </w:r>
    </w:p>
    <w:p>
      <w:r>
        <w:t>Bir başkası eşyanın sahibi adına izin veremez. “Bir kerecik” diyerek ısrar etmek veya vermeyeni arkadaş grubundan uzaklaştırmak seçim hakkını zedeler. Zarar ya da kayıp varsa çocuklar sınıfta bedel belirlemez; yetişkin desteğiyle okulun uygun yolu izlenir.</w:t>
      </w:r>
    </w:p>
    <w:p>
      <w:pPr>
        <w:spacing w:before="100"/>
      </w:pPr>
      <w:r>
        <w:rPr>
          <w:b/>
        </w:rPr>
        <w:t>Gözlediğim konuşma ve bir sonraki denemede vereceğim destek</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t>Gözlem örneği: “Ret yanıtından sonra yeniden ısrar etti. Ortak araç için yardım isteme yolunu hatırlattığımda yeni cümle kurabildi.” Tek bir provadan kişilik sonucu çıkarılmaz.</w:t>
      </w:r>
    </w:p>
    <w:p>
      <w:pPr>
        <w:pStyle w:val="Heading1"/>
      </w:pPr>
      <w:r>
        <w:t>Kaynak dayanağı</w:t>
      </w:r>
    </w:p>
    <w:p>
      <w:r>
        <w:t>CCI, atılgan iletişimi kişinin görüşünü açık ve doğrudan ifade ederken başkalarının haklarına saygı göstermesiyle açıklar. Buradaki öğrenci durumları iletişim provasıdır; klinik egzersiz veya değerlendirme aracı değildir.</w:t>
      </w:r>
    </w:p>
    <w:p>
      <w:pPr>
        <w:pStyle w:val="Heading1"/>
      </w:pPr>
      <w:r>
        <w:t>Kaynaklar</w:t>
      </w:r>
    </w:p>
    <w:p>
      <w:pPr>
        <w:spacing w:after="60"/>
      </w:pPr>
      <w:r>
        <w:rPr>
          <w:sz w:val="16"/>
        </w:rPr>
        <w:t>İzmir İl Millî Eğitim Müdürlüğü (2026), Yerel hedef çalışmaları</w:t>
      </w:r>
    </w:p>
    <w:p>
      <w:pPr>
        <w:spacing w:after="60"/>
      </w:pPr>
      <w:r>
        <w:rPr>
          <w:sz w:val="16"/>
        </w:rPr>
        <w:t>Orhaneli RAM (2026), Bursa ili yerel hedefi Sınır Koyma</w:t>
      </w:r>
    </w:p>
    <w:p>
      <w:pPr>
        <w:spacing w:after="60"/>
      </w:pPr>
      <w:r>
        <w:rPr>
          <w:sz w:val="16"/>
        </w:rPr>
        <w:t>Centre for Clinical Interventions (2019), Assertiveness</w:t>
      </w:r>
    </w:p>
    <w:p>
      <w:pPr>
        <w:spacing w:after="0"/>
      </w:pPr>
      <w:r>
        <w:rPr>
          <w:sz w:val="16"/>
        </w:rPr>
        <w:t>Belge bağlantıları: https://blogpdr.com/ortaokul-odunc-esya-etkinligi/</w:t>
      </w:r>
    </w:p>
    <w:p>
      <w:r>
        <w:br w:type="page"/>
      </w:r>
    </w:p>
    <w:p>
      <w:pPr>
        <w:pStyle w:val="Title"/>
      </w:pPr>
      <w:r>
        <w:t>Bir Konuşmayı Tamamlayalım</w:t>
      </w:r>
    </w:p>
    <w:p>
      <w:pPr>
        <w:spacing w:after="200"/>
      </w:pPr>
      <w:r>
        <w:rPr>
          <w:color w:val="526365"/>
          <w:sz w:val="20"/>
        </w:rPr>
        <w:t>Öğrenci kartları  •  İki kişinin de yanıtını düşün</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Cetvele şimdi ihtiyaç var</w:t>
            </w:r>
          </w:p>
          <w:p>
            <w:pPr>
              <w:spacing w:after="60"/>
            </w:pPr>
            <w:r>
              <w:t>Mert çizim için Ada’nın cetvelini istiyor. Ada cetvelini kullanıyor ve vermek istemiyor. Mert isteğini nasıl sorabilir? Ada ret yanıtını nasıl verir? Mert başka hangi yolu seçer?</w:t>
            </w:r>
          </w:p>
        </w:tc>
      </w:tr>
    </w:tbl>
    <w:p>
      <w:pPr>
        <w:spacing w:after="0" w:before="0" w:line="48" w:lineRule="auto"/>
      </w:pPr>
      <w:r>
        <w:rPr>
          <w:sz w:val="4"/>
        </w:rPr>
        <w:t xml:space="preserve"> </w:t>
      </w:r>
    </w:p>
    <w:p>
      <w:pPr>
        <w:spacing w:before="100"/>
      </w:pPr>
      <w:r>
        <w:rPr>
          <w:b/>
        </w:rPr>
        <w:t>İki kişinin söyleyebileceği cümleler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Kalem ders sonuna kadar verildi</w:t>
            </w:r>
          </w:p>
          <w:p>
            <w:pPr>
              <w:spacing w:after="60"/>
            </w:pPr>
            <w:r>
              <w:t>Ada renkli kalemini bu dersin sonuna kadar verebileceğini söylüyor. Mert ne zaman ve nerede geri vereceğini nasıl açıklar?</w:t>
            </w:r>
          </w:p>
        </w:tc>
      </w:tr>
    </w:tbl>
    <w:p>
      <w:pPr>
        <w:spacing w:after="0" w:before="0" w:line="48" w:lineRule="auto"/>
      </w:pPr>
      <w:r>
        <w:rPr>
          <w:sz w:val="4"/>
        </w:rPr>
        <w:t xml:space="preserve"> </w:t>
      </w:r>
    </w:p>
    <w:p>
      <w:pPr>
        <w:spacing w:before="100"/>
      </w:pPr>
      <w:r>
        <w:rPr>
          <w:b/>
        </w:rPr>
        <w:t>Karşılıklı konuşma</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tbl>
      <w:tblPr>
        <w:tblW w:type="auto" w:w="0"/>
        <w:tblLayout w:type="fixed"/>
        <w:tblLook w:firstColumn="1" w:firstRow="1" w:lastColumn="0" w:lastRow="0" w:noHBand="0" w:noVBand="1" w:val="04A0"/>
      </w:tblPr>
      <w:tblGrid>
        <w:gridCol w:w="9808"/>
      </w:tblGrid>
      <w:tr>
        <w:trPr>
          <w:cantSplit/>
        </w:trPr>
        <w:tc>
          <w:tcPr>
            <w:tcW w:type="dxa" w:w="9808"/>
            <w:shd w:fill="F0F5F4"/>
            <w:tcMar>
              <w:top w:w="110" w:type="dxa"/>
              <w:left w:w="110" w:type="dxa"/>
              <w:bottom w:w="110" w:type="dxa"/>
              <w:right w:w="110" w:type="dxa"/>
            </w:tcMar>
          </w:tcPr>
          <w:p>
            <w:pPr>
              <w:keepNext/>
            </w:pPr>
            <w:r>
              <w:rPr>
                <w:b/>
              </w:rPr>
              <w:t>Söz verilen zaman geldi</w:t>
            </w:r>
          </w:p>
          <w:p>
            <w:pPr>
              <w:spacing w:after="60"/>
            </w:pPr>
            <w:r>
              <w:t>Mert’in işi bitmedi. Kalemi geri vereceğini söylediği zaman geldi. Ada sonraki derste kalemini kullanacak. Mert ne yapar ve ne söyler?</w:t>
            </w:r>
          </w:p>
        </w:tc>
      </w:tr>
    </w:tbl>
    <w:p>
      <w:pPr>
        <w:spacing w:after="0" w:before="0" w:line="48" w:lineRule="auto"/>
      </w:pPr>
      <w:r>
        <w:rPr>
          <w:sz w:val="4"/>
        </w:rPr>
        <w:t xml:space="preserve"> </w:t>
      </w:r>
    </w:p>
    <w:p>
      <w:pPr>
        <w:spacing w:before="100"/>
      </w:pPr>
      <w:r>
        <w:rPr>
          <w:b/>
        </w:rPr>
        <w:t>İade ve yeni yanıt</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t>Bir kartı seçip rol değiştirebilirsiniz. Canlandırmak yerine yazarak da katılabilirsiniz. Gerçek bir anlaşmazlığı anlatmanız gerekmiyor.</w:t>
      </w:r>
    </w:p>
    <w:p>
      <w:r>
        <w:br w:type="page"/>
      </w:r>
    </w:p>
    <w:p>
      <w:pPr>
        <w:pStyle w:val="Title"/>
      </w:pPr>
      <w:r>
        <w:t>İzin Verilmeden Alamam</w:t>
      </w:r>
    </w:p>
    <w:p>
      <w:pPr>
        <w:spacing w:after="200"/>
      </w:pPr>
      <w:r>
        <w:rPr>
          <w:color w:val="526365"/>
          <w:sz w:val="20"/>
        </w:rPr>
        <w:t>Öğrenci için yeni durum ve kısa değerlendirme</w:t>
      </w:r>
    </w:p>
    <w:p>
      <w:pPr>
        <w:pStyle w:val="Heading1"/>
      </w:pPr>
      <w:r>
        <w:t>Yeni durum</w:t>
      </w:r>
    </w:p>
    <w:p>
      <w:r>
        <w:t>Eylül’ün masasındaki yapıştırıcıya ihtiyaç var. Eylül sınıfta değil. Bir arkadaşı “Alabilirsin, o bir şey demez” diyor. Sınıfta öğretmenin sorumluluğunda ortak malzeme de bulunuyor.</w:t>
      </w:r>
    </w:p>
    <w:p>
      <w:pPr>
        <w:spacing w:before="100"/>
      </w:pPr>
      <w:r>
        <w:rPr>
          <w:b/>
        </w:rPr>
        <w:t>Kimin iznine ihtiyaç var ve Eylül yokken hangi yol seçilebilir</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İstediğim eşya verilmeyince söyleyebileceğim cümle</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spacing w:before="100"/>
      </w:pPr>
      <w:r>
        <w:rPr>
          <w:b/>
        </w:rPr>
        <w:t>İade zamanını açıkça belirten bir konuşma</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pPr>
        <w:pStyle w:val="Heading1"/>
      </w:pPr>
      <w:r>
        <w:t>Konuşmayı kontrol edelim</w:t>
      </w:r>
    </w:p>
    <w:p>
      <w:r>
        <w:t>Ne istendiği belli mi? Eşya sahibinin yanıtı bekleniyor mu? Retten sonra baskı sürüyor mu? İade zamanı ve yeri iki kişi için de açık mı?</w:t>
      </w:r>
    </w:p>
    <w:p>
      <w:pPr>
        <w:spacing w:before="100"/>
      </w:pPr>
      <w:r>
        <w:rPr>
          <w:b/>
        </w:rPr>
        <w:t>Bir sonraki konuşmamda açıklığa kavuşturacağım bilgi</w:t>
      </w:r>
    </w:p>
    <w:p>
      <w:pPr>
        <w:spacing w:after="20" w:line="300" w:lineRule="auto"/>
      </w:pPr>
      <w:r>
        <w:rPr>
          <w:color w:val="B2BBBD"/>
          <w:sz w:val="20"/>
        </w:rPr>
        <w:t>_________________________________________________________________________</w:t>
      </w:r>
    </w:p>
    <w:p>
      <w:pPr>
        <w:spacing w:after="20" w:line="300" w:lineRule="auto"/>
      </w:pPr>
      <w:r>
        <w:rPr>
          <w:color w:val="B2BBBD"/>
          <w:sz w:val="20"/>
        </w:rPr>
        <w:t>_________________________________________________________________________</w:t>
      </w:r>
    </w:p>
    <w:p>
      <w:r>
        <w:t>Bir eşya zarar görür veya kaybolursa bunu saklamak yerine öğretmenden yardım iste. Kendi başına para ya da ceza anlaşması yapman beklenmez.</w:t>
      </w:r>
    </w:p>
    <w:sectPr w:rsidR="00FC693F" w:rsidRPr="0006063C" w:rsidSect="00034616">
      <w:footerReference w:type="default" r:id="rId9"/>
      <w:pgSz w:w="11906" w:h="16838"/>
      <w:pgMar w:top="935" w:right="1049" w:bottom="935"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Blog PDR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Ödünç Eşya Konuşmaları</dc:title>
  <dc:subject>Ortaokulda Ödünç Eşya Kullanımı: İzin, Ret ve İade</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