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Eğitsel Hedef İzlem Görüşmesi</w:t>
      </w:r>
    </w:p>
    <w:p>
      <w:pPr>
        <w:spacing w:after="200"/>
      </w:pPr>
      <w:r>
        <w:rPr>
          <w:color w:val="526365"/>
          <w:sz w:val="20"/>
        </w:rPr>
        <w:t>Okul psikolojik danışmanı için kullanım rehberi</w:t>
      </w:r>
    </w:p>
    <w:p>
      <w:r>
        <w:t>Bu dosya, öğrenciyle daha önce kararlaştırılmış tek bir eğitsel hedefi yeniden ele almak içindir. İlk hedef belirleme görüşmesinin veya bir psikolojik değerlendirmenin yerine geçmez. Öğrencinin denediği adımı, karşılaştığı koşulu ve yetişkinin hazırlayacağı desteği ayrı kaydedin.</w:t>
      </w:r>
    </w:p>
    <w:p>
      <w:pPr>
        <w:pStyle w:val="Heading1"/>
      </w:pPr>
      <w:r>
        <w:t>Hedefi yeniden doğrulama  2 dakika</w:t>
      </w:r>
    </w:p>
    <w:p>
      <w:r>
        <w:t>“Geçen görüşmede hangi adımı kararlaştırmıştık? Bu hedef senin için hâlâ önemli mi?” Öğrencinin sözünü koruyun. Önceliği değiştiyse yalnız önceki notu tamamlamak için ısrar etmeyin.</w:t>
      </w:r>
    </w:p>
    <w:p>
      <w:pPr>
        <w:pStyle w:val="Heading1"/>
      </w:pPr>
      <w:r>
        <w:t>Denemeyi anlama  4 dakika</w:t>
      </w:r>
    </w:p>
    <w:p>
      <w:r>
        <w:t>“İlk adımı attığında ne oldu? Hangi kısmı deneyebildin?” Tek bir somut ana dönün. Çalışmanın kendi örneği yeterlidir; özel mesaj, aile ayrıntısı veya kişisel belgeyi kanıt olarak istemeyin.</w:t>
      </w:r>
    </w:p>
    <w:p>
      <w:pPr>
        <w:pStyle w:val="Heading1"/>
      </w:pPr>
      <w:r>
        <w:t>Engel ve desteği konuşma  4 dakika</w:t>
      </w:r>
    </w:p>
    <w:p>
      <w:r>
        <w:t>“Adımın kendisi mi zordu, yoksa zaman, araç veya ilgili kişiye ulaşmak mı?” Bilgi eksikliği, uygun yolun belirsizliği ve değişen öncelik farklı kararlar gerektirir. Öğrenciye bütün engelleri tek başına çözme görevi yüklemeyin.</w:t>
      </w:r>
    </w:p>
    <w:p>
      <w:pPr>
        <w:pStyle w:val="Heading1"/>
      </w:pPr>
      <w:r>
        <w:t>Karar ve izlem  3 dakika</w:t>
      </w:r>
    </w:p>
    <w:p>
      <w:r>
        <w:t>Aynı adımı sürdürme, hedefi düzenleme veya destek hazırlama seçeneklerinden uygun olanı gerekçesiyle yazın. Öğrencinin yapacağı iş ile yetişkinin sorumluluğunu ayırın. Yeniden görüşme tarihini ve neye bakılacağını gerçek okul takvimine göre belirleyin.</w:t>
      </w:r>
    </w:p>
    <w:p>
      <w:pPr>
        <w:pStyle w:val="Heading1"/>
      </w:pPr>
      <w:r>
        <w:t>Kayıt ve güvenlik</w:t>
      </w:r>
    </w:p>
    <w:p>
      <w:r>
        <w:t>Notu kimlerin okuyabileceğini ve ne için tutulduğunu öğrenciye açıklayın; okulun yetkili ve güvenli kayıt düzenini kullanın. Güvenlik, zorbalık veya belirgin ruhsal sıkıntı anlatımı varsa formu tamamlamadan önce uygun destek sürecini işletin. Süreyi önemli anlatımı kesmek için kullanmayın.</w:t>
      </w:r>
    </w:p>
    <w:p>
      <w:r>
        <w:br w:type="page"/>
      </w:r>
    </w:p>
    <w:p>
      <w:pPr>
        <w:pStyle w:val="Title"/>
      </w:pPr>
      <w:r>
        <w:t>Eğitsel Hedef İzlem Notu</w:t>
      </w:r>
    </w:p>
    <w:p>
      <w:pPr>
        <w:spacing w:after="200"/>
      </w:pPr>
      <w:r>
        <w:rPr>
          <w:color w:val="526365"/>
          <w:sz w:val="20"/>
        </w:rPr>
        <w:t>Öğrenciyle birlikte doldurulur  •  Yetkili okul kayıt düzeninde saklanır</w:t>
      </w:r>
    </w:p>
    <w:p>
      <w:pPr>
        <w:spacing w:before="100"/>
      </w:pPr>
      <w:r>
        <w:rPr>
          <w:b/>
        </w:rPr>
        <w:t>Görüşme tarihi ve okulun kullandığı kayıt kodu</w:t>
      </w:r>
    </w:p>
    <w:p>
      <w:pPr>
        <w:spacing w:after="20" w:line="300" w:lineRule="auto"/>
      </w:pPr>
      <w:r>
        <w:rPr>
          <w:color w:val="B2BBBD"/>
          <w:sz w:val="20"/>
        </w:rPr>
        <w:t>_________________________________________________________________________</w:t>
      </w:r>
    </w:p>
    <w:p>
      <w:pPr>
        <w:spacing w:before="100"/>
      </w:pPr>
      <w:r>
        <w:rPr>
          <w:b/>
        </w:rPr>
        <w:t>Önceki hedef öğrencinin kendi sözleriyle ve hedefin bugünkü önemi</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before="100"/>
      </w:pPr>
      <w:r>
        <w:rPr>
          <w:b/>
        </w:rPr>
        <w:t>Öğrencinin denediği adım ve anlattığı somut örnek</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before="100"/>
      </w:pPr>
      <w:r>
        <w:rPr>
          <w:b/>
        </w:rPr>
        <w:t>Karşılaşılan engel ve işe yarayan destek</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before="100"/>
      </w:pPr>
      <w:r>
        <w:rPr>
          <w:b/>
        </w:rPr>
        <w:t>Birlikte verilen karar ve gerekçesi</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before="100"/>
      </w:pPr>
      <w:r>
        <w:rPr>
          <w:b/>
        </w:rPr>
        <w:t>Öğrencinin deneyeceği sonraki adım</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before="100"/>
      </w:pPr>
      <w:r>
        <w:rPr>
          <w:b/>
        </w:rPr>
        <w:t>Yetişkinin hazırlayacağı destek ve kimin üstleneceği</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before="100"/>
      </w:pPr>
      <w:r>
        <w:rPr>
          <w:b/>
        </w:rPr>
        <w:t>Yeniden görüşme tarihi ve birlikte bakılacak deneme</w:t>
      </w:r>
    </w:p>
    <w:p>
      <w:pPr>
        <w:spacing w:after="20" w:line="300" w:lineRule="auto"/>
      </w:pPr>
      <w:r>
        <w:rPr>
          <w:color w:val="B2BBBD"/>
          <w:sz w:val="20"/>
        </w:rPr>
        <w:t>_________________________________________________________________________</w:t>
      </w:r>
    </w:p>
    <w:p>
      <w:r>
        <w:t>Karar seçenekleri: Aynı adımı sürdürme, hedefi düzenleme, destek hazırlama. Boş alan veya tek görüşme notu kişilik ya da tanı göstergesi değildir.</w:t>
      </w:r>
    </w:p>
    <w:p>
      <w:r>
        <w:br w:type="page"/>
      </w:r>
    </w:p>
    <w:p>
      <w:pPr>
        <w:pStyle w:val="Title"/>
      </w:pPr>
      <w:r>
        <w:t>Soruyu Hazırladı Ama Soramadı</w:t>
      </w:r>
    </w:p>
    <w:p>
      <w:pPr>
        <w:spacing w:after="200"/>
      </w:pPr>
      <w:r>
        <w:rPr>
          <w:color w:val="526365"/>
          <w:sz w:val="20"/>
        </w:rPr>
        <w:t>Doldurulmuş kurgusal görüşme  •  7. sınıf öğrencisi</w:t>
      </w:r>
    </w:p>
    <w:p>
      <w:pPr>
        <w:pStyle w:val="Heading1"/>
      </w:pPr>
      <w:r>
        <w:t>Hedef ve deneme</w:t>
      </w:r>
    </w:p>
    <w:p>
      <w:r>
        <w:t>Önceki hedef: “Anlamadığım fen sorusunu bu hafta öğretmenime soracağım.” Öğrenci: “Soruyu işaretledim. Ders bitince öğretmen başka sınıfa gitti, konuşamadım.” Hedefin kendisi öğrenci için hâlâ önemli.</w:t>
      </w:r>
    </w:p>
    <w:p>
      <w:pPr>
        <w:pStyle w:val="Heading1"/>
      </w:pPr>
      <w:r>
        <w:t>Engeli doğru adlandırma</w:t>
      </w:r>
    </w:p>
    <w:p>
      <w:r>
        <w:t>“Ne soracağımı biliyorum ama ne zaman sorabileceğimi bulamadım.” Bu anlatımda soru hazırlama adımı var; uygun görüşme zamanı belirsiz. Notu “çekingen olduğu için yapmadı” diye tamamlamak öğrencinin verdiği bilgiyi değiştirir.</w:t>
      </w:r>
    </w:p>
    <w:p>
      <w:pPr>
        <w:pStyle w:val="Heading1"/>
      </w:pPr>
      <w:r>
        <w:t>Birlikte verilen karar</w:t>
      </w:r>
    </w:p>
    <w:p>
      <w:r>
        <w:t>Öğrenci bir sonraki fen dersinin başında, ders sonunda kısa bir soru için uygun olup olmadığını soracak. Öğretmen uygun değilse ondan başka bir zaman veya soru iletme yolu isteyecek. İlk adım, açıklamaya ulaşabileceği yolu öğrenmek.</w:t>
      </w:r>
    </w:p>
    <w:p>
      <w:pPr>
        <w:pStyle w:val="Heading1"/>
      </w:pPr>
      <w:r>
        <w:t>Yetişkinin üstlendiği destek</w:t>
      </w:r>
    </w:p>
    <w:p>
      <w:r>
        <w:t>Okul psikolojik danışmanı, gerekirse branş öğretmeniyle öğrencinin soru iletebileceği yolu netleştirecek. Hangi bilgiyi kiminle paylaşacağını öğrenciye açıklayacak. Ders konusunun açıklamasını ilgili öğretmen yapacak.</w:t>
      </w:r>
    </w:p>
    <w:p>
      <w:pPr>
        <w:pStyle w:val="Heading1"/>
      </w:pPr>
      <w:r>
        <w:t>İzlemde bakılacak bilgi</w:t>
      </w:r>
    </w:p>
    <w:p>
      <w:r>
        <w:t>Birlikte belirlenen gerçek tarihte şu sorulara dönülecek: Uygun zamanı öğrenebildi mi? Soruyu sorabildi mi? Açıklamaya erişebildi mi? Danışman üstlendiği desteği hazırladı mı? Yalnız öğrencinin görevi tamamlayıp tamamlamadığına bakılmayacak.</w:t>
      </w:r>
    </w:p>
    <w:p>
      <w:pPr>
        <w:spacing w:before="100"/>
      </w:pPr>
      <w:r>
        <w:rPr>
          <w:b/>
        </w:rPr>
        <w:t>Bu örnekte okulun koşullarına göre açıklığa kavuşturulması gereken bilgi</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r>
        <w:br w:type="page"/>
      </w:r>
    </w:p>
    <w:p>
      <w:pPr>
        <w:pStyle w:val="Title"/>
      </w:pPr>
      <w:r>
        <w:t>Sonraki Adıma Birlikte Karar Vermek</w:t>
      </w:r>
    </w:p>
    <w:p>
      <w:pPr>
        <w:spacing w:after="200"/>
      </w:pPr>
      <w:r>
        <w:rPr>
          <w:color w:val="526365"/>
          <w:sz w:val="20"/>
        </w:rPr>
        <w:t>Psikolojik danışman için karar soruları</w:t>
      </w:r>
    </w:p>
    <w:tbl>
      <w:tblPr>
        <w:tblW w:type="auto" w:w="0"/>
        <w:tblLayout w:type="fixed"/>
        <w:tblLook w:firstColumn="1" w:firstRow="1" w:lastColumn="0" w:lastRow="0" w:noHBand="0" w:noVBand="1" w:val="04A0"/>
      </w:tblPr>
      <w:tblGrid>
        <w:gridCol w:w="9808"/>
      </w:tblGrid>
      <w:tr>
        <w:trPr>
          <w:cantSplit/>
        </w:trPr>
        <w:tc>
          <w:tcPr>
            <w:tcW w:type="dxa" w:w="9808"/>
            <w:shd w:fill="F0F5F4"/>
            <w:tcMar>
              <w:top w:w="110" w:type="dxa"/>
              <w:left w:w="110" w:type="dxa"/>
              <w:bottom w:w="110" w:type="dxa"/>
              <w:right w:w="110" w:type="dxa"/>
            </w:tcMar>
          </w:tcPr>
          <w:p>
            <w:pPr>
              <w:keepNext/>
            </w:pPr>
            <w:r>
              <w:rPr>
                <w:b/>
              </w:rPr>
              <w:t>Aynı adımı sürdürme</w:t>
            </w:r>
          </w:p>
          <w:p>
            <w:pPr>
              <w:spacing w:after="60"/>
            </w:pPr>
            <w:r>
              <w:t>Adım öğrencinin ihtiyacına uyuyor ve bir kısmı denenebiliyorsa “Neyi koruyalım, bir sonraki denemede neye bakalım?” diye sorun. Örnek: Soru hazır, uygun görüşme yolu öğrenildi; şimdi aynı yolu yeniden kullanacak.</w:t>
            </w:r>
          </w:p>
        </w:tc>
      </w:tr>
    </w:tbl>
    <w:p>
      <w:pPr>
        <w:spacing w:after="0" w:before="0" w:line="48" w:lineRule="auto"/>
      </w:pPr>
      <w:r>
        <w:rPr>
          <w:sz w:val="4"/>
        </w:rPr>
        <w:t xml:space="preserve"> </w:t>
      </w:r>
    </w:p>
    <w:tbl>
      <w:tblPr>
        <w:tblW w:type="auto" w:w="0"/>
        <w:tblLayout w:type="fixed"/>
        <w:tblLook w:firstColumn="1" w:firstRow="1" w:lastColumn="0" w:lastRow="0" w:noHBand="0" w:noVBand="1" w:val="04A0"/>
      </w:tblPr>
      <w:tblGrid>
        <w:gridCol w:w="9808"/>
      </w:tblGrid>
      <w:tr>
        <w:trPr>
          <w:cantSplit/>
        </w:trPr>
        <w:tc>
          <w:tcPr>
            <w:tcW w:type="dxa" w:w="9808"/>
            <w:shd w:fill="F0F5F4"/>
            <w:tcMar>
              <w:top w:w="110" w:type="dxa"/>
              <w:left w:w="110" w:type="dxa"/>
              <w:bottom w:w="110" w:type="dxa"/>
              <w:right w:w="110" w:type="dxa"/>
            </w:tcMar>
          </w:tcPr>
          <w:p>
            <w:pPr>
              <w:keepNext/>
            </w:pPr>
            <w:r>
              <w:rPr>
                <w:b/>
              </w:rPr>
              <w:t>Hedefi düzenleme</w:t>
            </w:r>
          </w:p>
          <w:p>
            <w:pPr>
              <w:spacing w:after="60"/>
            </w:pPr>
            <w:r>
              <w:t>Adım çok genişse veya öğrencinin önceliği değiştiyse daha küçük ya da daha ilgili bir adımı birlikte seçin. Örnek: “Bütün eksiklerimi bitireceğim” yerine tek konunun hangi bölümünde açıklamaya ihtiyaç duyduğunu belirleme.</w:t>
            </w:r>
          </w:p>
        </w:tc>
      </w:tr>
    </w:tbl>
    <w:p>
      <w:pPr>
        <w:spacing w:after="0" w:before="0" w:line="48" w:lineRule="auto"/>
      </w:pPr>
      <w:r>
        <w:rPr>
          <w:sz w:val="4"/>
        </w:rPr>
        <w:t xml:space="preserve"> </w:t>
      </w:r>
    </w:p>
    <w:tbl>
      <w:tblPr>
        <w:tblW w:type="auto" w:w="0"/>
        <w:tblLayout w:type="fixed"/>
        <w:tblLook w:firstColumn="1" w:firstRow="1" w:lastColumn="0" w:lastRow="0" w:noHBand="0" w:noVBand="1" w:val="04A0"/>
      </w:tblPr>
      <w:tblGrid>
        <w:gridCol w:w="9808"/>
      </w:tblGrid>
      <w:tr>
        <w:trPr>
          <w:cantSplit/>
        </w:trPr>
        <w:tc>
          <w:tcPr>
            <w:tcW w:type="dxa" w:w="9808"/>
            <w:shd w:fill="F0F5F4"/>
            <w:tcMar>
              <w:top w:w="110" w:type="dxa"/>
              <w:left w:w="110" w:type="dxa"/>
              <w:bottom w:w="110" w:type="dxa"/>
              <w:right w:w="110" w:type="dxa"/>
            </w:tcMar>
          </w:tcPr>
          <w:p>
            <w:pPr>
              <w:keepNext/>
            </w:pPr>
            <w:r>
              <w:rPr>
                <w:b/>
              </w:rPr>
              <w:t>Destek hazırlama</w:t>
            </w:r>
          </w:p>
          <w:p>
            <w:pPr>
              <w:spacing w:after="60"/>
            </w:pPr>
            <w:r>
              <w:t>Zaman, malzeme, erişim veya ders açıklaması eksikse yetişkinin yapacağı işi yazın. Öğrenciye “daha çok çabala” demek, kapalı bir yardım yolunu açmaz. Bir sonraki görüşmede yetişkin sorumluluğuna da dönün.</w:t>
            </w:r>
          </w:p>
        </w:tc>
      </w:tr>
    </w:tbl>
    <w:p>
      <w:pPr>
        <w:spacing w:after="0" w:before="0" w:line="48" w:lineRule="auto"/>
      </w:pPr>
      <w:r>
        <w:rPr>
          <w:sz w:val="4"/>
        </w:rPr>
        <w:t xml:space="preserve"> </w:t>
      </w:r>
    </w:p>
    <w:p>
      <w:pPr>
        <w:pStyle w:val="Heading1"/>
      </w:pPr>
      <w:r>
        <w:t>Öğrencinin ifadesini korumak</w:t>
      </w:r>
    </w:p>
    <w:p>
      <w:r>
        <w:t>“Sormadım” cümlesini açmak için “O ana kadar neyi yapabilmiştin?” sorusu kullanılabilir. “İsteksiz” yerine görülen adımı ve öğrencinin anlattığı koşulu yazın. Hedefi sürdürmek istemiyorsa gerekçesini konuşun.</w:t>
      </w:r>
    </w:p>
    <w:p>
      <w:pPr>
        <w:pStyle w:val="Heading1"/>
      </w:pPr>
      <w:r>
        <w:t>Kaynak dayanağı</w:t>
      </w:r>
    </w:p>
    <w:p>
      <w:r>
        <w:t>EEF’nin planlama, izleme ve değerlendirmeye ilişkin rehberi belirli öğrenme görevlerinde düşünme sürecinin desteklenmesini ele alır. Bu görüşme notu rehberden alınmış bir ölçek veya doğrulanmış görüşme protokolü değildir. Okulun kayıt, mahremiyet ve destek sorumlulukları ayrıca gözetilir.</w:t>
      </w:r>
    </w:p>
    <w:p>
      <w:pPr>
        <w:pStyle w:val="Heading1"/>
      </w:pPr>
      <w:r>
        <w:t>Kaynaklar</w:t>
      </w:r>
    </w:p>
    <w:p>
      <w:pPr>
        <w:spacing w:after="60"/>
      </w:pPr>
      <w:r>
        <w:rPr>
          <w:sz w:val="16"/>
        </w:rPr>
        <w:t>Ordu İl Millî Eğitim Müdürlüğü (2026), Genel ve Yerel Hedefler</w:t>
      </w:r>
    </w:p>
    <w:p>
      <w:pPr>
        <w:spacing w:after="60"/>
      </w:pPr>
      <w:r>
        <w:rPr>
          <w:sz w:val="16"/>
        </w:rPr>
        <w:t>Education Endowment Foundation (2025), Metacognition and Self-Regulated Learning</w:t>
      </w:r>
    </w:p>
    <w:p>
      <w:pPr>
        <w:spacing w:after="0"/>
      </w:pPr>
      <w:r>
        <w:rPr>
          <w:sz w:val="16"/>
        </w:rPr>
        <w:t>Belge bağlantıları: https://blogpdr.com/rehberlik-gorusmesinde-hedef-takibi/</w:t>
      </w:r>
    </w:p>
    <w:sectPr w:rsidR="00FC693F" w:rsidRPr="0006063C" w:rsidSect="00034616">
      <w:footerReference w:type="default" r:id="rId9"/>
      <w:pgSz w:w="11906" w:h="16838"/>
      <w:pgMar w:top="935" w:right="1049" w:bottom="935" w:left="104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Blog PDR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al" w:hAnsi="Arial"/>
      <w:b/>
      <w:bCs/>
      <w:color w:val="000000"/>
      <w:sz w:val="25"/>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ascii="Arial" w:hAnsi="Arial"/>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Eğitsel Hedef İzlem Görüşmesi</dc:title>
  <dc:subject>Rehberlik Görüşmesinde Hedef Takibi: Engel, Destek ve Sonraki Adım</dc:subject>
  <dc:creator>Blog PDR</dc:creator>
  <cp:keywords/>
  <dc:description>generated by python-docx</dc:description>
  <cp:lastModifiedBy/>
  <cp:revision>1</cp:revision>
  <dcterms:created xsi:type="dcterms:W3CDTF">2013-12-23T23:15:00Z</dcterms:created>
  <dcterms:modified xsi:type="dcterms:W3CDTF">2013-12-23T23:15:00Z</dcterms:modified>
  <cp:category/>
</cp:coreProperties>
</file>