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Hedefi gözden geçirme öğretmen notları</w:t>
      </w:r>
    </w:p>
    <w:p>
      <w:pPr>
        <w:spacing w:after="200"/>
      </w:pPr>
      <w:r>
        <w:rPr>
          <w:color w:val="526365"/>
          <w:sz w:val="20"/>
        </w:rPr>
        <w:t>9–11. sınıflar • Slayt 1–3</w:t>
      </w:r>
    </w:p>
    <w:p>
      <w:r>
        <w:t>Amaç, önceden seçilmiş eğitsel hedefi yeni koşulla karşılaştırmak, gerekçeli bir karar vermek ve sonraki kontrolü belirlemektir. Öğrencilere tek bir doğru hayat hedefi sunulmaz. Kalem ve boş kâğıt yeterlidir.</w:t>
      </w:r>
    </w:p>
    <w:p>
      <w:pPr>
        <w:pStyle w:val="Heading1"/>
      </w:pPr>
      <w:r>
        <w:t>Slayt 1 Hedefi gözden geçirmek</w:t>
      </w:r>
    </w:p>
    <w:p>
      <w:r>
        <w:t>Ders yaklaşık 35 dakika. Gerçek özel yaşam bilgisi istemeyin. Öğrenci kurgu vaka üzerinden çalışabilir. İlk 3 slayta 7, 4–6’ya 9, 7–9’a 10, 10–12’ye 9 dakika ayırın.</w:t>
      </w:r>
    </w:p>
    <w:p>
      <w:pPr>
        <w:pStyle w:val="Heading1"/>
      </w:pPr>
      <w:r>
        <w:t>Slayt 2 Hedef ve çalışma yolu</w:t>
      </w:r>
    </w:p>
    <w:p>
      <w:r>
        <w:t>Hedef ile aracı ayırın. İnternet kesilmesi otomatik olarak açıklama hedefini iptal etmez. Alternatif erişimin gerçekten bulunup bulunmadığını konuşun.</w:t>
      </w:r>
    </w:p>
    <w:p>
      <w:pPr>
        <w:pStyle w:val="Heading1"/>
      </w:pPr>
      <w:r>
        <w:t>Slayt 3 Değişen koşulun kaydı</w:t>
      </w:r>
    </w:p>
    <w:p>
      <w:r>
        <w:t>“Ben başarısızım” ile gözlenen erişim sorununu ayırın. Özel aile koşullarını açıklamayı zorunlu tutmayın.</w:t>
      </w:r>
    </w:p>
    <w:p>
      <w:r>
        <w:br w:type="page"/>
      </w:r>
    </w:p>
    <w:p>
      <w:pPr>
        <w:pStyle w:val="Title"/>
      </w:pPr>
      <w:r>
        <w:t>Hedefi gözden geçirme öğretmen notları</w:t>
      </w:r>
    </w:p>
    <w:p>
      <w:pPr>
        <w:spacing w:after="200"/>
      </w:pPr>
      <w:r>
        <w:rPr>
          <w:color w:val="526365"/>
          <w:sz w:val="20"/>
        </w:rPr>
        <w:t>9–11. sınıflar • Slayt 4–6</w:t>
      </w:r>
    </w:p>
    <w:p>
      <w:pPr>
        <w:pStyle w:val="Heading1"/>
      </w:pPr>
      <w:r>
        <w:t>Slayt 4 Sürdürme ve uyarlama</w:t>
      </w:r>
    </w:p>
    <w:p>
      <w:r>
        <w:t>Bunlar iki öğrenci tipi değil karar seçenekleridir. Veriye göre karar değişebilir. Her engelin yalnız öğrencinin çabasıyla aşılacağını söylemeyin.</w:t>
      </w:r>
    </w:p>
    <w:p>
      <w:pPr>
        <w:pStyle w:val="Heading1"/>
      </w:pPr>
      <w:r>
        <w:t>Slayt 5 Erteleme ve yeni öncelik</w:t>
      </w:r>
    </w:p>
    <w:p>
      <w:r>
        <w:t>Erteleme örneğinde malzeme beklerken yapılabilecek hazırlığı konuşun. Yeni öncelik seçeneğinde öğrenciye hedefin bugün neden önemli olup olmadığını sorun. Kendi özel koşullarını anlatmak istemeyen öğrenci kurgu örnekte kalabilir.</w:t>
      </w:r>
    </w:p>
    <w:p>
      <w:pPr>
        <w:pStyle w:val="Heading1"/>
      </w:pPr>
      <w:r>
        <w:t>Slayt 6 Ece için yeni çalışma yeri</w:t>
      </w:r>
    </w:p>
    <w:p>
      <w:r>
        <w:t>Öğrencilerden Ece’nin karakterini değil değişen koşulu ve gereksinimi açıklamalarını isteyin. Sonraki slaytı göstermeden çözüm önerilerini alın.</w:t>
      </w:r>
    </w:p>
    <w:p>
      <w:r>
        <w:br w:type="page"/>
      </w:r>
    </w:p>
    <w:p>
      <w:pPr>
        <w:pStyle w:val="Title"/>
      </w:pPr>
      <w:r>
        <w:t>Hedefi gözden geçirme öğretmen notları</w:t>
      </w:r>
    </w:p>
    <w:p>
      <w:pPr>
        <w:spacing w:after="200"/>
      </w:pPr>
      <w:r>
        <w:rPr>
          <w:color w:val="526365"/>
          <w:sz w:val="20"/>
        </w:rPr>
        <w:t>9–11. sınıflar • Slayt 7–9</w:t>
      </w:r>
    </w:p>
    <w:p>
      <w:pPr>
        <w:pStyle w:val="Heading1"/>
      </w:pPr>
      <w:r>
        <w:t>Slayt 7 Ece için gerekçeli uyarlama</w:t>
      </w:r>
    </w:p>
    <w:p>
      <w:r>
        <w:t>Bu örnekte yeni plan iki kısa oturumdur. Cuma açıklama yetersizse öğrenciyle hangi adımın eksik kaldığına bakın. Süre, kapsam veya ek açıklama ihtiyacını yeniden konuşun.</w:t>
      </w:r>
    </w:p>
    <w:p>
      <w:pPr>
        <w:pStyle w:val="Heading1"/>
      </w:pPr>
      <w:r>
        <w:t>Slayt 8 Mert için eksik bilgi</w:t>
      </w:r>
    </w:p>
    <w:p>
      <w:r>
        <w:t>Eksik bilgiyi “sonra bakarım” diyerek bırakmak yerine kimden ne zaman öğrenileceğini konuşturun. Laboratuvarın uygun kullanım zamanını sorumlu öğretmenle kararlaştırın.</w:t>
      </w:r>
    </w:p>
    <w:p>
      <w:pPr>
        <w:pStyle w:val="Heading1"/>
      </w:pPr>
      <w:r>
        <w:t>Slayt 9 Birlikte değerlendirme</w:t>
      </w:r>
    </w:p>
    <w:p>
      <w:r>
        <w:t>Önce iki dakika bireysel yazma, ardından üç dakika ikili karşılaştırma. Kaynak sayısını artırmanın kendiliğinden kalite olmadığını belirtin.</w:t>
      </w:r>
    </w:p>
    <w:p>
      <w:r>
        <w:br w:type="page"/>
      </w:r>
    </w:p>
    <w:p>
      <w:pPr>
        <w:pStyle w:val="Title"/>
      </w:pPr>
      <w:r>
        <w:t>Hedefi gözden geçirme öğretmen notları</w:t>
      </w:r>
    </w:p>
    <w:p>
      <w:pPr>
        <w:spacing w:after="200"/>
      </w:pPr>
      <w:r>
        <w:rPr>
          <w:color w:val="526365"/>
          <w:sz w:val="20"/>
        </w:rPr>
        <w:t>9–11. sınıflar • Slayt 10–12</w:t>
      </w:r>
    </w:p>
    <w:p>
      <w:pPr>
        <w:pStyle w:val="Heading1"/>
      </w:pPr>
      <w:r>
        <w:t>Slayt 10 Ada için örnek değerlendirme</w:t>
      </w:r>
    </w:p>
    <w:p>
      <w:r>
        <w:t>Her grubun bu cevabı aynen seçmesi gerekmiyor. Makul başka karar eksik bilgiyi ve desteği açıklamalı. Konu dışı kaynakla sayıyı tamamlamayı kabul etmeyin.</w:t>
      </w:r>
    </w:p>
    <w:p>
      <w:pPr>
        <w:pStyle w:val="Heading1"/>
      </w:pPr>
      <w:r>
        <w:t>Slayt 11 Kendi değerlendirme notum</w:t>
      </w:r>
    </w:p>
    <w:p>
      <w:r>
        <w:t>Kâğıtları başarı sırasına koymayın. Öğrenci yalnız paylaşmak istediği bölümü gösterebilir. Bireysel destek ihtiyacını sınıf içinde teşhir etmeyin.</w:t>
      </w:r>
    </w:p>
    <w:p>
      <w:pPr>
        <w:pStyle w:val="Heading1"/>
      </w:pPr>
      <w:r>
        <w:t>Slayt 12 Yeni koşulda yeniden değerlendirme</w:t>
      </w:r>
    </w:p>
    <w:p>
      <w:r>
        <w:t>Kaynak: EEF, Metacognition and Self-Regulated Learning, 2. baskı, 2025. https://educationendowmentfoundation.org.uk/education-evidence/guidance-reports/metacognition. Vakalar ve karar seçenekleri özgün öğretim örnekleridir.</w:t>
      </w:r>
    </w:p>
    <w:p>
      <w:pPr>
        <w:pStyle w:val="Heading1"/>
      </w:pPr>
      <w:r>
        <w:t>Öğretmenin izlemi</w:t>
      </w:r>
    </w:p>
    <w:p>
      <w:r>
        <w:t>Sonraki uygun derste öğrencinin seçtiği kontrol örneğine dönün. Yetişkinin üstlendiği kaynak veya erişim desteği sağlandı mı diye de bakın. Hedef için istenmeyen özel bilgi veya başarısızlık listesi tutmayın.</w:t>
      </w:r>
    </w:p>
    <w:p>
      <w:pPr>
        <w:pStyle w:val="Heading1"/>
      </w:pPr>
      <w:r>
        <w:t>Kaynak</w:t>
      </w:r>
    </w:p>
    <w:p>
      <w:r>
        <w:t>Education Endowment Foundation, Metacognition and Self-Regulated Learning, 2. baskı</w:t>
        <w:br/>
        <w:t>https://educationendowmentfoundation.org.uk/education-evidence/guidance-reports/metacognition</w:t>
      </w:r>
    </w:p>
    <w:sectPr w:rsidR="00FC693F" w:rsidRPr="0006063C" w:rsidSect="00034616">
      <w:footerReference w:type="default" r:id="rId9"/>
      <w:pgSz w:w="11906" w:h="16838"/>
      <w:pgMar w:top="935" w:right="1049" w:bottom="935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Blog PDR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Hedefi gözden geçirme öğretmen notları</dc:title>
  <dc:subject>Lisede Hedefi Gözden Geçirmek: Koşullar Değiştiğinde Ne Yapılır?</dc:subject>
  <dc:creator>Blog PDR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